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BF" w:rsidRDefault="00D56BBF" w:rsidP="00D56BBF">
      <w:pPr>
        <w:pStyle w:val="ConsPlusNormal"/>
        <w:jc w:val="right"/>
        <w:outlineLvl w:val="1"/>
      </w:pPr>
      <w:r>
        <w:t>Форма 4</w:t>
      </w:r>
    </w:p>
    <w:p w:rsidR="00D56BBF" w:rsidRDefault="00D56BBF" w:rsidP="00D56BBF">
      <w:pPr>
        <w:pStyle w:val="ConsPlusNormal"/>
        <w:jc w:val="both"/>
      </w:pPr>
    </w:p>
    <w:p w:rsidR="00D56BBF" w:rsidRDefault="00D56BBF" w:rsidP="00D56BBF">
      <w:pPr>
        <w:pStyle w:val="ConsPlusNormal"/>
        <w:jc w:val="center"/>
      </w:pPr>
      <w:r>
        <w:t>Информация</w:t>
      </w:r>
    </w:p>
    <w:p w:rsidR="00D56BBF" w:rsidRDefault="00D56BBF" w:rsidP="00D56BBF">
      <w:pPr>
        <w:pStyle w:val="ConsPlusNormal"/>
        <w:jc w:val="center"/>
      </w:pPr>
      <w:bookmarkStart w:id="0" w:name="_GoBack"/>
      <w:r>
        <w:t>об основных показателях финансово-хозяйственной деятельности</w:t>
      </w:r>
    </w:p>
    <w:bookmarkEnd w:id="0"/>
    <w:p w:rsidR="00D56BBF" w:rsidRDefault="00D56BBF" w:rsidP="00D56BBF">
      <w:pPr>
        <w:pStyle w:val="ConsPlusNormal"/>
        <w:jc w:val="center"/>
      </w:pPr>
      <w:r>
        <w:t>организации холодного водоснабжения, включая структуру</w:t>
      </w:r>
    </w:p>
    <w:p w:rsidR="00D56BBF" w:rsidRDefault="00D56BBF" w:rsidP="00D56BBF">
      <w:pPr>
        <w:pStyle w:val="ConsPlusNormal"/>
        <w:jc w:val="center"/>
      </w:pPr>
      <w:proofErr w:type="gramStart"/>
      <w:r>
        <w:t>основных производственных затрат (в части регулируемых</w:t>
      </w:r>
      <w:proofErr w:type="gramEnd"/>
    </w:p>
    <w:p w:rsidR="00D56BBF" w:rsidRDefault="00D56BBF" w:rsidP="00D56BBF">
      <w:pPr>
        <w:pStyle w:val="ConsPlusNormal"/>
        <w:jc w:val="center"/>
      </w:pPr>
      <w:r>
        <w:t>видов деятельности в сфере холодного водоснабжения)</w:t>
      </w:r>
    </w:p>
    <w:p w:rsidR="00D56BBF" w:rsidRDefault="00D56BBF" w:rsidP="00D56BBF">
      <w:pPr>
        <w:pStyle w:val="ConsPlusNormal"/>
        <w:jc w:val="both"/>
      </w:pPr>
    </w:p>
    <w:tbl>
      <w:tblPr>
        <w:tblW w:w="1034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302"/>
        <w:gridCol w:w="1701"/>
        <w:gridCol w:w="2552"/>
      </w:tblGrid>
      <w:tr w:rsidR="005401C8" w:rsidTr="005401C8">
        <w:tc>
          <w:tcPr>
            <w:tcW w:w="10349" w:type="dxa"/>
            <w:gridSpan w:val="4"/>
          </w:tcPr>
          <w:p w:rsidR="005401C8" w:rsidRDefault="005401C8" w:rsidP="00224F08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5401C8" w:rsidTr="005401C8">
        <w:tc>
          <w:tcPr>
            <w:tcW w:w="794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701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552" w:type="dxa"/>
          </w:tcPr>
          <w:p w:rsidR="005401C8" w:rsidRDefault="005401C8" w:rsidP="00224F08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Выручка от регулируемых видов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15,03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Себестоимость производимых товаров (оказываемых услуг) по регулируемым видам деятельности в сфере холодного водоснабжения, включая: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2773,21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холодной воды, приобретаемой у других организаций для последующей подачи потребителям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приобретаемую электрическую энергию (мощность), используемую в технологическом процессе: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1190,09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средневзвешенная стоимость 1 </w:t>
            </w:r>
            <w:proofErr w:type="spellStart"/>
            <w:r>
              <w:t>кВт</w:t>
            </w:r>
            <w:proofErr w:type="gramStart"/>
            <w:r>
              <w:t>.ч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3,8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приобретаемой электрической энергии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кВт</w:t>
            </w:r>
            <w:proofErr w:type="gramStart"/>
            <w:r>
              <w:t>.ч</w:t>
            </w:r>
            <w:proofErr w:type="spellEnd"/>
            <w:proofErr w:type="gramEnd"/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313,58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химические реагенты, используемые в технологическом процессе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682,02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517,07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164,95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117,29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оплату труда административно-управленческого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88,9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2.5.2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28,39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расходы на амортизацию основных средств и </w:t>
            </w:r>
            <w:r>
              <w:lastRenderedPageBreak/>
              <w:t>нематериальных активов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415,32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аренду имущества, используемого для осуществления регулируемых видов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общепроизводственные расходы,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28,32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2.8.2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общехозяйственные расходы,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текущий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2.9.2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ремонт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капитальный и текущий ремонт основных средств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95,34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244,83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 xml:space="preserve">прочие расходы, которые подлежат отнесению на регулируемые виды деятельности в сфере холодного водоснабжения в соответствии с </w:t>
            </w:r>
            <w:hyperlink r:id="rId5">
              <w:r>
                <w:rPr>
                  <w:color w:val="0000FF"/>
                </w:rPr>
                <w:t>Основами</w:t>
              </w:r>
            </w:hyperlink>
            <w:r>
      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г. N 406 (далее - Основы ценообразования в сфере водоснабжения и водоотведения)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Чистая прибыль, полученная от регулируемых видов деятельности в сфере холодного водоснабжения,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размер расходования чистой прибыли на финансирование мероприятий, предусмотренных инвестиционной программой организации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Изменение стоимости основных фондов,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ввода в эксплуатацию (вывода из эксплуатации)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ввода в эксплуатацию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вывода из эксплуатации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за счет их переоценки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Валовая прибыль (убытки) от продажи товаров и услуг по регулируемым видам деятельности в сфере холодного водоснабжения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302" w:type="dxa"/>
            <w:vAlign w:val="center"/>
          </w:tcPr>
          <w:p w:rsidR="005401C8" w:rsidRDefault="005401C8" w:rsidP="00224F08">
            <w:pPr>
              <w:pStyle w:val="ConsPlusNormal"/>
            </w:pPr>
            <w:r>
              <w:t>Годовая бухгалтерская (финансовая) отчетность, включая бухгалтерский баланс и приложения к нему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поднятой воды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263,513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покупной воды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воды, пропущенной через очистные сооружения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263,513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Объем отпущенной потребителям воды,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1,329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proofErr w:type="gramStart"/>
            <w:r>
              <w:t>определенный</w:t>
            </w:r>
            <w:proofErr w:type="gramEnd"/>
            <w:r>
              <w:t xml:space="preserve"> по приборам учета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1,257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proofErr w:type="gramStart"/>
            <w:r>
              <w:t>определенный</w:t>
            </w:r>
            <w:proofErr w:type="gramEnd"/>
            <w:r>
              <w:t xml:space="preserve"> расчетным способом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0,072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proofErr w:type="gramStart"/>
            <w:r>
              <w:t>определенный</w:t>
            </w:r>
            <w:proofErr w:type="gramEnd"/>
            <w:r>
              <w:t xml:space="preserve"> по нормативам потребления коммунальных услуг и по нормативам потребления коммунальных ресурсов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Потери воды в сетях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Среднесписочная численность основного производственного персонала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2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Удельный расход электрической энергии на подачу воды в сеть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тыс. кВт/</w:t>
            </w:r>
            <w:proofErr w:type="gramStart"/>
            <w:r>
              <w:t>ч</w:t>
            </w:r>
            <w:proofErr w:type="gramEnd"/>
            <w:r>
              <w:t xml:space="preserve"> на тыс. куб. м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0,00119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 воды на собственные нужды,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99,5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расход воды на хозяйственно-бытовые нужды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99,5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302" w:type="dxa"/>
          </w:tcPr>
          <w:p w:rsidR="005401C8" w:rsidRDefault="005401C8" w:rsidP="00224F08">
            <w:pPr>
              <w:pStyle w:val="ConsPlusNormal"/>
            </w:pPr>
            <w:r>
              <w:t>Показатель использования производственных объектов (по объему перекачки), в том числе: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100</w:t>
            </w:r>
          </w:p>
        </w:tc>
      </w:tr>
      <w:tr w:rsidR="005401C8" w:rsidTr="005401C8">
        <w:tc>
          <w:tcPr>
            <w:tcW w:w="794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5302" w:type="dxa"/>
            <w:vAlign w:val="center"/>
          </w:tcPr>
          <w:p w:rsidR="005401C8" w:rsidRDefault="005401C8" w:rsidP="00224F08">
            <w:pPr>
              <w:pStyle w:val="ConsPlusNormal"/>
            </w:pPr>
            <w:r>
              <w:t>производственный объект</w:t>
            </w:r>
          </w:p>
        </w:tc>
        <w:tc>
          <w:tcPr>
            <w:tcW w:w="1701" w:type="dxa"/>
            <w:vAlign w:val="center"/>
          </w:tcPr>
          <w:p w:rsidR="005401C8" w:rsidRDefault="005401C8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2" w:type="dxa"/>
            <w:vAlign w:val="center"/>
          </w:tcPr>
          <w:p w:rsidR="005401C8" w:rsidRDefault="005401C8" w:rsidP="005401C8">
            <w:pPr>
              <w:pStyle w:val="ConsPlusNormal"/>
              <w:jc w:val="center"/>
            </w:pPr>
            <w:r>
              <w:t>100</w:t>
            </w:r>
          </w:p>
        </w:tc>
      </w:tr>
    </w:tbl>
    <w:p w:rsidR="0047378A" w:rsidRDefault="0047378A"/>
    <w:sectPr w:rsidR="0047378A" w:rsidSect="005401C8"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BF"/>
    <w:rsid w:val="0047378A"/>
    <w:rsid w:val="005401C8"/>
    <w:rsid w:val="008809D9"/>
    <w:rsid w:val="00CC168A"/>
    <w:rsid w:val="00D56BBF"/>
    <w:rsid w:val="00D8065E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B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B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3200&amp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cp:lastPrinted>2024-04-26T04:54:00Z</cp:lastPrinted>
  <dcterms:created xsi:type="dcterms:W3CDTF">2024-04-26T04:42:00Z</dcterms:created>
  <dcterms:modified xsi:type="dcterms:W3CDTF">2024-04-26T05:37:00Z</dcterms:modified>
</cp:coreProperties>
</file>